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3"/>
          <w:szCs w:val="23"/>
          <w:lang w:val="en-US"/>
        </w:rPr>
      </w:pPr>
    </w:p>
    <w:p>
      <w:pPr>
        <w:jc w:val="center"/>
        <w:rPr>
          <w:b/>
          <w:szCs w:val="24"/>
        </w:rPr>
      </w:pPr>
      <w:r>
        <w:rPr>
          <w:b/>
          <w:szCs w:val="24"/>
        </w:rPr>
        <w:t>SUTIKIMO / NESUTIKIMO DĖL DALYVAVIMO</w:t>
      </w:r>
      <w:r>
        <w:rPr>
          <w:rFonts w:hint="default"/>
          <w:b/>
          <w:szCs w:val="24"/>
          <w:lang w:val="lt-LT"/>
        </w:rPr>
        <w:t xml:space="preserve"> </w:t>
      </w:r>
      <w:r>
        <w:rPr>
          <w:rFonts w:hint="default"/>
          <w:b/>
          <w:szCs w:val="24"/>
          <w:lang w:val="en-US"/>
        </w:rPr>
        <w:t xml:space="preserve">LENTVARIO </w:t>
      </w:r>
      <w:r>
        <w:rPr>
          <w:rFonts w:hint="default"/>
          <w:b/>
          <w:szCs w:val="24"/>
          <w:lang w:val="lt-LT"/>
        </w:rPr>
        <w:t>LOPŠELIO-DARŽELIO „SVAJONĖLĖ”</w:t>
      </w:r>
      <w:r>
        <w:rPr>
          <w:b/>
          <w:szCs w:val="24"/>
        </w:rPr>
        <w:t xml:space="preserve"> VYKDOMAME TESTAVIME COVID-19 LIGAI (KORONAVIRUSO INFEKCIJAI) ĮTARTI AR DIAGNOZUOTI FORMA</w:t>
      </w:r>
    </w:p>
    <w:p>
      <w:pPr>
        <w:jc w:val="center"/>
        <w:rPr>
          <w:b/>
          <w:szCs w:val="24"/>
        </w:rPr>
      </w:pPr>
    </w:p>
    <w:p>
      <w:pPr>
        <w:pBdr>
          <w:bottom w:val="single" w:color="auto" w:sz="6" w:space="1"/>
        </w:pBdr>
        <w:jc w:val="center"/>
        <w:rPr>
          <w:vanish/>
          <w:szCs w:val="24"/>
          <w:lang w:eastAsia="lt-LT"/>
        </w:rPr>
      </w:pPr>
      <w:r>
        <w:rPr>
          <w:vanish/>
          <w:szCs w:val="24"/>
          <w:lang w:eastAsia="lt-LT"/>
        </w:rPr>
        <w:t>Formos viršus</w:t>
      </w:r>
    </w:p>
    <w:p>
      <w:pPr>
        <w:jc w:val="center"/>
        <w:rPr>
          <w:color w:val="000000"/>
          <w:szCs w:val="24"/>
          <w:lang w:eastAsia="lt-LT"/>
        </w:rPr>
      </w:pPr>
      <w:r>
        <w:rPr>
          <w:b/>
          <w:bCs/>
          <w:color w:val="000000"/>
          <w:szCs w:val="24"/>
          <w:lang w:eastAsia="lt-LT"/>
        </w:rPr>
        <w:t>I SKYRIUS</w:t>
      </w:r>
    </w:p>
    <w:p>
      <w:pPr>
        <w:jc w:val="center"/>
        <w:rPr>
          <w:color w:val="000000"/>
          <w:szCs w:val="24"/>
          <w:lang w:eastAsia="lt-LT"/>
        </w:rPr>
      </w:pPr>
      <w:r>
        <w:rPr>
          <w:b/>
          <w:bCs/>
          <w:color w:val="000000"/>
          <w:szCs w:val="24"/>
          <w:lang w:eastAsia="lt-LT"/>
        </w:rPr>
        <w:t>BENDROJI INFORMACIJA</w:t>
      </w:r>
    </w:p>
    <w:p>
      <w:pPr>
        <w:jc w:val="both"/>
        <w:rPr>
          <w:color w:val="000000"/>
          <w:szCs w:val="24"/>
          <w:lang w:eastAsia="lt-LT"/>
        </w:rPr>
      </w:pPr>
      <w:r>
        <w:rPr>
          <w:i/>
          <w:iCs/>
          <w:color w:val="000000"/>
          <w:szCs w:val="24"/>
          <w:lang w:eastAsia="lt-LT"/>
        </w:rPr>
        <w:t> </w:t>
      </w:r>
    </w:p>
    <w:p>
      <w:pPr>
        <w:ind w:firstLine="709"/>
        <w:jc w:val="both"/>
        <w:rPr>
          <w:color w:val="000000"/>
          <w:szCs w:val="24"/>
          <w:lang w:eastAsia="lt-LT"/>
        </w:rPr>
      </w:pPr>
      <w:r>
        <w:rPr>
          <w:b/>
          <w:bCs/>
          <w:color w:val="000000"/>
          <w:szCs w:val="24"/>
          <w:lang w:eastAsia="lt-LT"/>
        </w:rPr>
        <w:t>Testavimą vykdanti įstaiga</w:t>
      </w:r>
    </w:p>
    <w:p>
      <w:pPr>
        <w:ind w:firstLine="709"/>
        <w:jc w:val="both"/>
        <w:rPr>
          <w:rFonts w:hint="default"/>
          <w:color w:val="000000"/>
          <w:szCs w:val="24"/>
          <w:lang w:val="en-US" w:eastAsia="lt-LT"/>
        </w:rPr>
      </w:pPr>
      <w:r>
        <w:rPr>
          <w:color w:val="000000"/>
          <w:szCs w:val="24"/>
          <w:lang w:eastAsia="lt-LT"/>
        </w:rPr>
        <w:t xml:space="preserve">Testavimas vykdomas: </w:t>
      </w:r>
      <w:r>
        <w:rPr>
          <w:rFonts w:hint="default"/>
          <w:color w:val="000000"/>
          <w:szCs w:val="24"/>
          <w:u w:val="single"/>
          <w:lang w:val="en-US" w:eastAsia="lt-LT"/>
        </w:rPr>
        <w:t>Lentvario</w:t>
      </w:r>
      <w:r>
        <w:rPr>
          <w:color w:val="000000"/>
          <w:szCs w:val="24"/>
          <w:u w:val="single"/>
          <w:lang w:eastAsia="lt-LT"/>
        </w:rPr>
        <w:t xml:space="preserve"> lopšelis-darželis ,,</w:t>
      </w:r>
      <w:r>
        <w:rPr>
          <w:rFonts w:hint="default"/>
          <w:color w:val="000000"/>
          <w:szCs w:val="24"/>
          <w:u w:val="single"/>
          <w:lang w:val="en-US" w:eastAsia="lt-LT"/>
        </w:rPr>
        <w:t>Svajonėlė</w:t>
      </w:r>
      <w:r>
        <w:rPr>
          <w:color w:val="000000"/>
          <w:szCs w:val="24"/>
          <w:u w:val="single"/>
          <w:lang w:eastAsia="lt-LT"/>
        </w:rPr>
        <w:t>“</w:t>
      </w:r>
      <w:r>
        <w:rPr>
          <w:rFonts w:hint="default"/>
          <w:color w:val="000000"/>
          <w:szCs w:val="24"/>
          <w:u w:val="single"/>
          <w:lang w:val="en-US" w:eastAsia="lt-LT"/>
        </w:rPr>
        <w:t xml:space="preserve"> (toliau-mokykla)</w:t>
      </w:r>
    </w:p>
    <w:p>
      <w:pPr>
        <w:ind w:firstLine="709"/>
        <w:jc w:val="both"/>
        <w:rPr>
          <w:rFonts w:hint="default"/>
          <w:i w:val="0"/>
          <w:iCs w:val="0"/>
          <w:color w:val="000000"/>
          <w:szCs w:val="24"/>
          <w:u w:val="none"/>
          <w:lang w:val="en-US" w:eastAsia="lt-LT"/>
        </w:rPr>
      </w:pPr>
      <w:r>
        <w:rPr>
          <w:color w:val="000000"/>
          <w:szCs w:val="24"/>
          <w:lang w:eastAsia="lt-LT"/>
        </w:rPr>
        <w:t>Už testavimo organizavimą atsakingas asmuo: </w:t>
      </w:r>
      <w:r>
        <w:rPr>
          <w:rFonts w:hint="default"/>
          <w:color w:val="000000"/>
          <w:szCs w:val="24"/>
          <w:u w:val="single"/>
          <w:lang w:val="en-US" w:eastAsia="lt-LT"/>
        </w:rPr>
        <w:t>Lijana Jaruševičienė</w:t>
      </w:r>
      <w:r>
        <w:rPr>
          <w:color w:val="000000"/>
          <w:szCs w:val="24"/>
          <w:u w:val="single"/>
          <w:lang w:eastAsia="lt-LT"/>
        </w:rPr>
        <w:t>,</w:t>
      </w:r>
      <w:r>
        <w:rPr>
          <w:rFonts w:hint="default"/>
          <w:color w:val="000000"/>
          <w:szCs w:val="24"/>
          <w:u w:val="single"/>
          <w:lang w:val="en-US" w:eastAsia="lt-LT"/>
        </w:rPr>
        <w:t xml:space="preserve"> sveikatos priežiūros </w:t>
      </w:r>
      <w:r>
        <w:rPr>
          <w:rFonts w:hint="default"/>
          <w:i w:val="0"/>
          <w:iCs w:val="0"/>
          <w:color w:val="000000"/>
          <w:szCs w:val="24"/>
          <w:u w:val="single"/>
          <w:lang w:val="en-US" w:eastAsia="lt-LT"/>
        </w:rPr>
        <w:t>specialistė, tel.Nr. 8 528 28272</w:t>
      </w:r>
    </w:p>
    <w:p>
      <w:pPr>
        <w:ind w:firstLine="709"/>
        <w:jc w:val="both"/>
        <w:rPr>
          <w:color w:val="000000"/>
          <w:szCs w:val="24"/>
          <w:lang w:eastAsia="lt-LT"/>
        </w:rPr>
      </w:pPr>
      <w:bookmarkStart w:id="0" w:name="part_c505104f0d994c4892be8d4cc331c1bb"/>
      <w:bookmarkEnd w:id="0"/>
      <w:r>
        <w:rPr>
          <w:b/>
          <w:bCs/>
          <w:color w:val="000000"/>
          <w:szCs w:val="24"/>
          <w:lang w:eastAsia="lt-LT"/>
        </w:rPr>
        <w:t>Testavimo tikslas</w:t>
      </w:r>
    </w:p>
    <w:p>
      <w:pPr>
        <w:shd w:val="clear" w:color="auto" w:fill="FFFFFF"/>
        <w:ind w:firstLine="709"/>
        <w:jc w:val="both"/>
        <w:rPr>
          <w:color w:val="000000"/>
          <w:szCs w:val="24"/>
          <w:lang w:eastAsia="lt-LT"/>
        </w:rPr>
      </w:pPr>
      <w:bookmarkStart w:id="1" w:name="part_3af9d748d9554d08adcc257624b3fe9a"/>
      <w:bookmarkEnd w:id="1"/>
      <w:r>
        <w:rPr>
          <w:b/>
          <w:bCs/>
          <w:color w:val="000000"/>
          <w:szCs w:val="24"/>
          <w:lang w:eastAsia="lt-LT"/>
        </w:rPr>
        <w:t>Kai mokykloje organizuojamas testavimas</w:t>
      </w:r>
      <w:r>
        <w:rPr>
          <w:rFonts w:hint="default"/>
          <w:b/>
          <w:bCs/>
          <w:color w:val="000000"/>
          <w:szCs w:val="24"/>
          <w:lang w:val="en-US" w:eastAsia="lt-LT"/>
        </w:rPr>
        <w:t xml:space="preserve"> namuose</w:t>
      </w:r>
      <w:r>
        <w:rPr>
          <w:b/>
          <w:bCs/>
          <w:color w:val="000000"/>
          <w:szCs w:val="24"/>
          <w:lang w:eastAsia="lt-LT"/>
        </w:rPr>
        <w:t xml:space="preserve"> po turėto didelės rizikos sąlyčio, skirto COVID-19 ligai įtarti ar diagnozuoti:</w:t>
      </w:r>
    </w:p>
    <w:p>
      <w:pPr>
        <w:ind w:firstLine="709"/>
        <w:jc w:val="both"/>
        <w:rPr>
          <w:color w:val="000000"/>
          <w:szCs w:val="24"/>
          <w:lang w:eastAsia="lt-LT"/>
        </w:rPr>
      </w:pPr>
      <w:r>
        <w:rPr>
          <w:color w:val="000000"/>
          <w:szCs w:val="24"/>
          <w:lang w:eastAsia="lt-LT"/>
        </w:rPr>
        <w:t xml:space="preserve">Testavimo procesu siekiama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antigeno testus </w:t>
      </w:r>
      <w:r>
        <w:rPr>
          <w:rFonts w:hint="default"/>
          <w:color w:val="000000"/>
          <w:szCs w:val="24"/>
          <w:lang w:val="en-US" w:eastAsia="lt-LT"/>
        </w:rPr>
        <w:t xml:space="preserve">iš seilių </w:t>
      </w:r>
      <w:r>
        <w:rPr>
          <w:color w:val="000000"/>
          <w:szCs w:val="24"/>
          <w:lang w:eastAsia="lt-LT"/>
        </w:rPr>
        <w:t xml:space="preserve">(toliau – </w:t>
      </w:r>
      <w:r>
        <w:rPr>
          <w:rFonts w:hint="default"/>
          <w:color w:val="000000"/>
          <w:szCs w:val="24"/>
          <w:lang w:val="en-US" w:eastAsia="lt-LT"/>
        </w:rPr>
        <w:t>GAT iš seilių</w:t>
      </w:r>
      <w:r>
        <w:rPr>
          <w:color w:val="000000"/>
          <w:szCs w:val="24"/>
          <w:lang w:eastAsia="lt-LT"/>
        </w:rPr>
        <w:t>).</w:t>
      </w:r>
    </w:p>
    <w:p>
      <w:pPr>
        <w:ind w:firstLine="709"/>
        <w:jc w:val="both"/>
        <w:rPr>
          <w:color w:val="000000"/>
          <w:szCs w:val="24"/>
          <w:lang w:eastAsia="lt-LT"/>
        </w:rPr>
      </w:pPr>
      <w:bookmarkStart w:id="2" w:name="part_f7bc790e6b304f6a849fb9b3a9a2cc6c"/>
      <w:bookmarkEnd w:id="2"/>
      <w:bookmarkStart w:id="3" w:name="part_bd3bb1da20b44dceb654e2395276cd81"/>
      <w:bookmarkEnd w:id="3"/>
      <w:r>
        <w:rPr>
          <w:b/>
          <w:bCs/>
          <w:color w:val="000000"/>
          <w:szCs w:val="24"/>
          <w:lang w:eastAsia="lt-LT"/>
        </w:rPr>
        <w:t>Testavimo vykdymo teisinis pagrindas</w:t>
      </w:r>
    </w:p>
    <w:p>
      <w:pPr>
        <w:ind w:firstLine="709"/>
        <w:jc w:val="both"/>
        <w:rPr>
          <w:color w:val="000000"/>
          <w:szCs w:val="24"/>
          <w:lang w:eastAsia="lt-LT"/>
        </w:rPr>
      </w:pPr>
      <w:r>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pPr>
        <w:ind w:firstLine="709"/>
        <w:jc w:val="both"/>
        <w:rPr>
          <w:color w:val="000000"/>
          <w:szCs w:val="24"/>
          <w:lang w:eastAsia="lt-LT"/>
        </w:rPr>
      </w:pPr>
      <w:bookmarkStart w:id="4" w:name="part_2b35b3d9a712409bb4b228c544bccebb"/>
      <w:bookmarkEnd w:id="4"/>
      <w:r>
        <w:rPr>
          <w:b/>
          <w:bCs/>
          <w:color w:val="000000"/>
          <w:szCs w:val="24"/>
          <w:lang w:eastAsia="lt-LT"/>
        </w:rPr>
        <w:t>Testavimo proceso dalyvio teisės</w:t>
      </w:r>
    </w:p>
    <w:p>
      <w:pPr>
        <w:shd w:val="clear" w:color="auto" w:fill="FFFFFF"/>
        <w:ind w:firstLine="709"/>
        <w:jc w:val="both"/>
        <w:rPr>
          <w:color w:val="000000"/>
          <w:szCs w:val="24"/>
          <w:lang w:eastAsia="lt-LT"/>
        </w:rPr>
      </w:pPr>
      <w:bookmarkStart w:id="5" w:name="part_8cc5f6318c724d7ba791f2a28b92b51b"/>
      <w:bookmarkEnd w:id="5"/>
      <w:r>
        <w:rPr>
          <w:b/>
          <w:bCs/>
          <w:color w:val="000000"/>
          <w:szCs w:val="24"/>
          <w:lang w:eastAsia="lt-LT"/>
        </w:rPr>
        <w:t>Kai mokykloje organizuojamas testavimas</w:t>
      </w:r>
      <w:r>
        <w:rPr>
          <w:rFonts w:hint="default"/>
          <w:b/>
          <w:bCs/>
          <w:color w:val="000000"/>
          <w:szCs w:val="24"/>
          <w:lang w:val="en-US" w:eastAsia="lt-LT"/>
        </w:rPr>
        <w:t xml:space="preserve"> namuose</w:t>
      </w:r>
      <w:r>
        <w:rPr>
          <w:b/>
          <w:bCs/>
          <w:color w:val="000000"/>
          <w:szCs w:val="24"/>
          <w:lang w:eastAsia="lt-LT"/>
        </w:rPr>
        <w:t xml:space="preserve"> po turėto didelės rizikos sąlyčio, skirto COVID-19 ligai įtarti ar diagnozuoti:</w:t>
      </w:r>
    </w:p>
    <w:p>
      <w:pPr>
        <w:shd w:val="clear" w:color="auto" w:fill="FFFFFF"/>
        <w:ind w:firstLine="709"/>
        <w:jc w:val="both"/>
        <w:rPr>
          <w:color w:val="000000"/>
          <w:szCs w:val="24"/>
          <w:lang w:eastAsia="lt-LT"/>
        </w:rPr>
      </w:pPr>
      <w:r>
        <w:rPr>
          <w:color w:val="000000"/>
          <w:szCs w:val="24"/>
          <w:lang w:eastAsia="lt-LT"/>
        </w:rPr>
        <w:t xml:space="preserve">Dalyvavimas testavime yra savanoriškas, todėl </w:t>
      </w:r>
      <w:r>
        <w:rPr>
          <w:rFonts w:hint="default"/>
          <w:color w:val="000000"/>
          <w:szCs w:val="24"/>
          <w:lang w:val="en-US" w:eastAsia="lt-LT"/>
        </w:rPr>
        <w:t xml:space="preserve">vaiko </w:t>
      </w:r>
      <w:r>
        <w:rPr>
          <w:color w:val="000000"/>
          <w:szCs w:val="24"/>
          <w:lang w:eastAsia="lt-LT"/>
        </w:rPr>
        <w:t xml:space="preserve">atstovas pagal įstatymą turi teisę atsisakyti jame dalyvauti. </w:t>
      </w:r>
    </w:p>
    <w:p>
      <w:pPr>
        <w:jc w:val="center"/>
      </w:pPr>
      <w:bookmarkStart w:id="6" w:name="part_00e66616dc3443e5861c97833c93cbd3"/>
      <w:bookmarkEnd w:id="6"/>
    </w:p>
    <w:p>
      <w:pPr>
        <w:shd w:val="clear" w:color="auto" w:fill="FFFFFF"/>
        <w:ind w:firstLine="709"/>
        <w:jc w:val="center"/>
        <w:rPr>
          <w:b/>
          <w:bCs/>
          <w:color w:val="000000"/>
          <w:szCs w:val="24"/>
        </w:rPr>
      </w:pPr>
      <w:r>
        <w:rPr>
          <w:b/>
          <w:bCs/>
          <w:color w:val="000000"/>
          <w:szCs w:val="24"/>
        </w:rPr>
        <w:t>II SKYRIUS</w:t>
      </w:r>
    </w:p>
    <w:p>
      <w:pPr>
        <w:shd w:val="clear" w:color="auto" w:fill="FFFFFF"/>
        <w:ind w:firstLine="709"/>
        <w:jc w:val="center"/>
        <w:rPr>
          <w:b/>
          <w:bCs/>
          <w:color w:val="000000"/>
          <w:szCs w:val="24"/>
        </w:rPr>
      </w:pPr>
      <w:r>
        <w:rPr>
          <w:b/>
          <w:bCs/>
          <w:color w:val="000000"/>
          <w:szCs w:val="24"/>
        </w:rPr>
        <w:t>TESTAVIMO PROCESO SĄLYGOS</w:t>
      </w:r>
    </w:p>
    <w:p>
      <w:pPr>
        <w:tabs>
          <w:tab w:val="left" w:pos="709"/>
        </w:tabs>
        <w:jc w:val="both"/>
        <w:rPr>
          <w:b/>
          <w:szCs w:val="24"/>
        </w:rPr>
      </w:pPr>
    </w:p>
    <w:p>
      <w:pPr>
        <w:tabs>
          <w:tab w:val="left" w:pos="709"/>
        </w:tabs>
        <w:ind w:firstLine="709"/>
        <w:jc w:val="both"/>
        <w:rPr>
          <w:bCs/>
          <w:szCs w:val="24"/>
        </w:rPr>
      </w:pPr>
      <w:r>
        <w:rPr>
          <w:b/>
          <w:szCs w:val="24"/>
        </w:rPr>
        <w:t xml:space="preserve">Kai </w:t>
      </w:r>
      <w:r>
        <w:rPr>
          <w:b/>
          <w:color w:val="auto"/>
          <w:szCs w:val="24"/>
        </w:rPr>
        <w:t xml:space="preserve">mokykloje </w:t>
      </w:r>
      <w:r>
        <w:rPr>
          <w:b/>
          <w:szCs w:val="24"/>
        </w:rPr>
        <w:t>organizuojamas testavimas</w:t>
      </w:r>
      <w:r>
        <w:rPr>
          <w:rFonts w:hint="default"/>
          <w:b/>
          <w:szCs w:val="24"/>
          <w:lang w:val="lt-LT"/>
        </w:rPr>
        <w:t xml:space="preserve"> namuose</w:t>
      </w:r>
      <w:r>
        <w:rPr>
          <w:b/>
          <w:szCs w:val="24"/>
        </w:rPr>
        <w:t xml:space="preserve"> po turėto didelės rizikos sąlyčio, skirto COVID-19 ligai įtarti ar diagnozuoti,</w:t>
      </w:r>
      <w:r>
        <w:rPr>
          <w:bCs/>
          <w:szCs w:val="24"/>
        </w:rPr>
        <w:t xml:space="preserve"> jei sutinkate dalyvauti testavime, pasirašydami sutinkate, kad Jūs </w:t>
      </w:r>
      <w:r>
        <w:rPr>
          <w:szCs w:val="24"/>
        </w:rPr>
        <w:t xml:space="preserve"> testuo</w:t>
      </w:r>
      <w:r>
        <w:rPr>
          <w:rFonts w:hint="default"/>
          <w:szCs w:val="24"/>
          <w:lang w:val="lt-LT"/>
        </w:rPr>
        <w:t>sitės namuose</w:t>
      </w:r>
      <w:r>
        <w:rPr>
          <w:szCs w:val="24"/>
        </w:rPr>
        <w:t xml:space="preserve"> dėl COVID-19 ligos nustatymo</w:t>
      </w:r>
      <w:r>
        <w:rPr>
          <w:bCs/>
          <w:szCs w:val="24"/>
        </w:rPr>
        <w:t xml:space="preserve"> </w:t>
      </w:r>
      <w:r>
        <w:rPr>
          <w:rFonts w:hint="default"/>
          <w:color w:val="000000"/>
          <w:szCs w:val="24"/>
          <w:lang w:val="en-US" w:eastAsia="lt-LT"/>
        </w:rPr>
        <w:t>GAT iš seilių</w:t>
      </w:r>
      <w:r>
        <w:rPr>
          <w:bCs/>
          <w:szCs w:val="24"/>
        </w:rPr>
        <w:t xml:space="preserve"> iškart po teigiamo COVID-19 ligos atvejo,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pPr>
        <w:tabs>
          <w:tab w:val="left" w:pos="709"/>
        </w:tabs>
        <w:ind w:firstLine="709"/>
        <w:jc w:val="both"/>
        <w:rPr>
          <w:rFonts w:hint="default"/>
          <w:b/>
          <w:bCs w:val="0"/>
          <w:szCs w:val="24"/>
          <w:lang w:val="lt-LT"/>
        </w:rPr>
      </w:pPr>
      <w:r>
        <w:rPr>
          <w:rFonts w:hint="default"/>
          <w:b/>
          <w:bCs w:val="0"/>
          <w:szCs w:val="24"/>
          <w:lang w:val="lt-LT"/>
        </w:rPr>
        <w:t>Tyrimą namuose atlikti šiais etapais:</w:t>
      </w:r>
    </w:p>
    <w:p>
      <w:pPr>
        <w:tabs>
          <w:tab w:val="left" w:pos="709"/>
        </w:tabs>
        <w:jc w:val="both"/>
        <w:rPr>
          <w:rFonts w:hint="default"/>
          <w:b w:val="0"/>
          <w:bCs/>
          <w:szCs w:val="24"/>
          <w:lang w:val="lt-LT"/>
        </w:rPr>
      </w:pPr>
      <w:r>
        <w:rPr>
          <w:rFonts w:hint="default"/>
          <w:b w:val="0"/>
          <w:bCs/>
          <w:szCs w:val="24"/>
          <w:lang w:val="lt-LT"/>
        </w:rPr>
        <w:tab/>
        <w:t>Išduoti tėvams (vaiko atstovams) reikalingą kiekį greitųjų antigenų iš seilių testų (ne daugiau kaip savaitei);</w:t>
      </w:r>
    </w:p>
    <w:p>
      <w:pPr>
        <w:tabs>
          <w:tab w:val="left" w:pos="709"/>
        </w:tabs>
        <w:jc w:val="both"/>
        <w:rPr>
          <w:rFonts w:hint="default"/>
          <w:b w:val="0"/>
          <w:bCs/>
          <w:szCs w:val="24"/>
          <w:lang w:val="lt-LT"/>
        </w:rPr>
      </w:pPr>
      <w:r>
        <w:rPr>
          <w:rFonts w:hint="default"/>
          <w:b w:val="0"/>
          <w:bCs/>
          <w:szCs w:val="24"/>
          <w:lang w:val="lt-LT"/>
        </w:rPr>
        <w:tab/>
        <w:t>Tais atvejais, kai pagal nustatytą grafiką antigeno testas turi būti atliekamas savaitgalį, rekomenduoti jį atlikti paskutinę dieną iki grįžimo į ugdymo procesą;</w:t>
      </w:r>
    </w:p>
    <w:p>
      <w:pPr>
        <w:ind w:firstLine="709"/>
        <w:jc w:val="both"/>
        <w:rPr>
          <w:bCs/>
          <w:szCs w:val="24"/>
        </w:rPr>
      </w:pPr>
      <w:r>
        <w:rPr>
          <w:color w:val="000000"/>
          <w:szCs w:val="24"/>
          <w:lang w:eastAsia="lt-LT"/>
        </w:rPr>
        <w:t>Jei savikontrolės tyrimo rezultatas bus teigiamas</w:t>
      </w:r>
      <w:r>
        <w:rPr>
          <w:rFonts w:hint="default"/>
          <w:color w:val="000000"/>
          <w:szCs w:val="24"/>
          <w:lang w:val="en-US" w:eastAsia="lt-LT"/>
        </w:rPr>
        <w:t>,</w:t>
      </w:r>
      <w:r>
        <w:rPr>
          <w:color w:val="000000"/>
          <w:szCs w:val="24"/>
          <w:lang w:eastAsia="lt-LT"/>
        </w:rPr>
        <w:t xml:space="preserve"> galėsite registruotis patvirtinamajam tyrimui į mobilųjį punktą per Karštosios linijos sistemą telefonu 1808 arba pildant elektroninę registracijos formą adresu www.1808.lt. Apie savikontrolės tyrimo ir patvirtinamojo tyrimo rezultatus turėsite pranešti atsakingam mokyklos darbuotojui. Gavus teigiamą savikontrolės tyrimo rezultatą, nerekomenduojama dalyvauti kontaktiniame ugdyme 7 dienas, išskyrus atvejus, kai yra gaunamas neigiamas patvirtinamojo tyrimo rezultatas.</w:t>
      </w:r>
    </w:p>
    <w:p>
      <w:pPr>
        <w:ind w:firstLine="709"/>
        <w:jc w:val="center"/>
        <w:rPr>
          <w:b/>
          <w:szCs w:val="24"/>
        </w:rPr>
      </w:pPr>
    </w:p>
    <w:p>
      <w:pPr>
        <w:ind w:firstLine="709"/>
        <w:jc w:val="center"/>
        <w:rPr>
          <w:b/>
          <w:szCs w:val="24"/>
        </w:rPr>
      </w:pPr>
      <w:r>
        <w:rPr>
          <w:b/>
          <w:szCs w:val="24"/>
        </w:rPr>
        <w:t>III SKYRIUS</w:t>
      </w:r>
    </w:p>
    <w:p>
      <w:pPr>
        <w:ind w:firstLine="709"/>
        <w:jc w:val="center"/>
        <w:rPr>
          <w:b/>
          <w:szCs w:val="24"/>
        </w:rPr>
      </w:pPr>
      <w:r>
        <w:rPr>
          <w:b/>
          <w:szCs w:val="24"/>
        </w:rPr>
        <w:t>ASMENS DUOMENŲ TVARKYMO SĄLYGOS</w:t>
      </w:r>
    </w:p>
    <w:p>
      <w:pPr>
        <w:ind w:firstLine="709"/>
        <w:jc w:val="center"/>
        <w:rPr>
          <w:b/>
          <w:szCs w:val="24"/>
        </w:rPr>
      </w:pPr>
    </w:p>
    <w:p>
      <w:pPr>
        <w:pBdr>
          <w:bottom w:val="single" w:color="auto" w:sz="6" w:space="1"/>
        </w:pBdr>
        <w:ind w:firstLine="709"/>
        <w:jc w:val="center"/>
        <w:rPr>
          <w:vanish/>
          <w:szCs w:val="24"/>
          <w:lang w:eastAsia="lt-LT"/>
        </w:rPr>
      </w:pPr>
      <w:r>
        <w:rPr>
          <w:vanish/>
          <w:szCs w:val="24"/>
          <w:lang w:eastAsia="lt-LT"/>
        </w:rPr>
        <w:t>Formos viršus</w:t>
      </w:r>
    </w:p>
    <w:p>
      <w:pPr>
        <w:tabs>
          <w:tab w:val="left" w:pos="709"/>
        </w:tabs>
        <w:ind w:firstLine="709"/>
        <w:jc w:val="both"/>
        <w:rPr>
          <w:szCs w:val="24"/>
        </w:rPr>
      </w:pPr>
      <w:r>
        <w:rPr>
          <w:szCs w:val="24"/>
        </w:rPr>
        <w:t xml:space="preserve">Jūsų duomenis (jei pasirašomas sutikimas testuotis: vardą, pavardę, parašą,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pPr>
        <w:tabs>
          <w:tab w:val="left" w:pos="567"/>
        </w:tabs>
        <w:ind w:firstLine="709"/>
        <w:jc w:val="both"/>
        <w:rPr>
          <w:szCs w:val="24"/>
        </w:rPr>
      </w:pPr>
      <w:r>
        <w:rPr>
          <w:szCs w:val="24"/>
        </w:rPr>
        <w:t> koordinuojant testavimo atlikimą ugdymo įstaigoje – savivaldybės visuomenės sveikatos biurui.</w:t>
      </w:r>
    </w:p>
    <w:p>
      <w:pPr>
        <w:tabs>
          <w:tab w:val="left" w:pos="709"/>
        </w:tabs>
        <w:ind w:firstLine="709"/>
        <w:jc w:val="both"/>
        <w:rPr>
          <w:szCs w:val="24"/>
          <w:lang w:eastAsia="lt-LT"/>
        </w:rPr>
      </w:pPr>
      <w:r>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pPr>
        <w:tabs>
          <w:tab w:val="left" w:pos="709"/>
          <w:tab w:val="left" w:pos="993"/>
        </w:tabs>
        <w:ind w:firstLine="709"/>
        <w:jc w:val="both"/>
        <w:rPr>
          <w:szCs w:val="24"/>
        </w:rPr>
      </w:pPr>
      <w:r>
        <w:rPr>
          <w:szCs w:val="24"/>
        </w:rPr>
        <w:t>Jūs turite BDAR nurodytas teises</w:t>
      </w:r>
      <w:r>
        <w:rPr>
          <w:szCs w:val="24"/>
          <w:lang w:eastAsia="lt-LT"/>
        </w:rPr>
        <w:t>:</w:t>
      </w:r>
    </w:p>
    <w:p>
      <w:pPr>
        <w:tabs>
          <w:tab w:val="left" w:pos="567"/>
          <w:tab w:val="left" w:pos="993"/>
        </w:tabs>
        <w:ind w:firstLine="709"/>
        <w:jc w:val="both"/>
        <w:rPr>
          <w:szCs w:val="24"/>
        </w:rPr>
      </w:pPr>
      <w:r>
        <w:rPr>
          <w:szCs w:val="24"/>
        </w:rPr>
        <w:t></w:t>
      </w:r>
      <w:r>
        <w:rPr>
          <w:szCs w:val="24"/>
        </w:rPr>
        <w:tab/>
      </w:r>
      <w:r>
        <w:rPr>
          <w:szCs w:val="24"/>
        </w:rPr>
        <w:t xml:space="preserve">teisę prašyti, kad Jums būtų leista susipažinti su duomenų valdytojo ir duomenų gavėjų turimais Jūsų duomenimis ir juos ištaisyti arba ištrinti; </w:t>
      </w:r>
    </w:p>
    <w:p>
      <w:pPr>
        <w:tabs>
          <w:tab w:val="left" w:pos="567"/>
          <w:tab w:val="left" w:pos="993"/>
        </w:tabs>
        <w:ind w:firstLine="709"/>
        <w:jc w:val="both"/>
        <w:rPr>
          <w:szCs w:val="24"/>
        </w:rPr>
      </w:pPr>
      <w:r>
        <w:rPr>
          <w:szCs w:val="24"/>
        </w:rPr>
        <w:t></w:t>
      </w:r>
      <w:r>
        <w:rPr>
          <w:szCs w:val="24"/>
        </w:rPr>
        <w:tab/>
      </w:r>
      <w:r>
        <w:rPr>
          <w:szCs w:val="24"/>
        </w:rPr>
        <w:t>teisę apriboti Jūsų duomenų tvarkymą, teisę nesutikti, kad duomenys būtų tvarkomi;</w:t>
      </w:r>
    </w:p>
    <w:p>
      <w:pPr>
        <w:tabs>
          <w:tab w:val="left" w:pos="567"/>
          <w:tab w:val="left" w:pos="993"/>
        </w:tabs>
        <w:ind w:firstLine="709"/>
        <w:jc w:val="both"/>
        <w:rPr>
          <w:szCs w:val="24"/>
        </w:rPr>
      </w:pPr>
      <w:r>
        <w:rPr>
          <w:szCs w:val="24"/>
        </w:rPr>
        <w:t></w:t>
      </w:r>
      <w:r>
        <w:rPr>
          <w:szCs w:val="24"/>
        </w:rPr>
        <w:tab/>
      </w:r>
      <w:r>
        <w:rPr>
          <w:szCs w:val="24"/>
        </w:rPr>
        <w:t>teisę į duomenų perkeliamumą;</w:t>
      </w:r>
    </w:p>
    <w:p>
      <w:pPr>
        <w:tabs>
          <w:tab w:val="left" w:pos="567"/>
          <w:tab w:val="left" w:pos="993"/>
        </w:tabs>
        <w:ind w:firstLine="709"/>
        <w:jc w:val="both"/>
        <w:rPr>
          <w:rFonts w:hint="default"/>
          <w:szCs w:val="24"/>
          <w:lang w:val="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r>
        <w:rPr>
          <w:rFonts w:hint="default"/>
          <w:szCs w:val="24"/>
          <w:lang w:val="lt-LT"/>
        </w:rPr>
        <w:t>.</w:t>
      </w:r>
    </w:p>
    <w:p>
      <w:pPr>
        <w:tabs>
          <w:tab w:val="left" w:pos="567"/>
          <w:tab w:val="left" w:pos="993"/>
        </w:tabs>
        <w:ind w:firstLine="709"/>
        <w:jc w:val="both"/>
        <w:rPr>
          <w:rFonts w:hint="default"/>
          <w:szCs w:val="24"/>
          <w:lang w:val="lt-LT"/>
        </w:rPr>
      </w:pPr>
    </w:p>
    <w:p>
      <w:pPr>
        <w:tabs>
          <w:tab w:val="left" w:pos="567"/>
          <w:tab w:val="left" w:pos="993"/>
        </w:tabs>
        <w:ind w:firstLine="709"/>
        <w:jc w:val="both"/>
        <w:rPr>
          <w:rFonts w:hint="default"/>
          <w:szCs w:val="24"/>
          <w:lang w:val="lt-LT"/>
        </w:rPr>
      </w:pPr>
      <w:bookmarkStart w:id="7" w:name="_GoBack"/>
      <w:bookmarkEnd w:id="7"/>
    </w:p>
    <w:p>
      <w:pPr>
        <w:jc w:val="center"/>
        <w:rPr>
          <w:color w:val="000000"/>
          <w:szCs w:val="24"/>
          <w:lang w:eastAsia="lt-LT"/>
        </w:rPr>
      </w:pPr>
      <w:r>
        <w:rPr>
          <w:b/>
          <w:bCs/>
          <w:color w:val="000000"/>
          <w:szCs w:val="24"/>
          <w:lang w:eastAsia="lt-LT"/>
        </w:rPr>
        <w:t>IV SKYRIUS</w:t>
      </w:r>
    </w:p>
    <w:p>
      <w:pPr>
        <w:jc w:val="center"/>
        <w:rPr>
          <w:color w:val="000000"/>
          <w:szCs w:val="24"/>
          <w:lang w:eastAsia="lt-LT"/>
        </w:rPr>
      </w:pPr>
      <w:r>
        <w:rPr>
          <w:b/>
          <w:bCs/>
          <w:color w:val="000000"/>
          <w:szCs w:val="24"/>
          <w:lang w:eastAsia="lt-LT"/>
        </w:rPr>
        <w:t>SUTIKIMAS / NESUTIKIMAS DALYVAUTI TESTAVIME</w:t>
      </w:r>
    </w:p>
    <w:p>
      <w:pPr>
        <w:ind w:firstLine="62"/>
        <w:jc w:val="center"/>
        <w:rPr>
          <w:color w:val="000000"/>
          <w:szCs w:val="24"/>
          <w:lang w:eastAsia="lt-LT"/>
        </w:rPr>
      </w:pPr>
    </w:p>
    <w:p>
      <w:pPr>
        <w:ind w:firstLine="709"/>
        <w:jc w:val="both"/>
        <w:rPr>
          <w:color w:val="000000"/>
          <w:szCs w:val="24"/>
          <w:lang w:eastAsia="lt-LT"/>
        </w:rPr>
      </w:pPr>
      <w:r>
        <w:rPr>
          <w:color w:val="000000"/>
          <w:szCs w:val="24"/>
          <w:lang w:eastAsia="lt-LT"/>
        </w:rPr>
        <w:t xml:space="preserve">Aš, būdamas įstatyminiu atstovu, sutinku / nesutinku (pažymėti atitinkamą langelį ties tyrimo metodais, su kuriais sutinkate, ir metodais, su kuriais nesutinkate), jog mano atstovaujamam </w:t>
      </w:r>
      <w:r>
        <w:rPr>
          <w:rFonts w:hint="default"/>
          <w:color w:val="000000"/>
          <w:szCs w:val="24"/>
          <w:lang w:val="en-US" w:eastAsia="lt-LT"/>
        </w:rPr>
        <w:t>vaik</w:t>
      </w:r>
      <w:r>
        <w:rPr>
          <w:color w:val="000000"/>
          <w:szCs w:val="24"/>
          <w:lang w:eastAsia="lt-LT"/>
        </w:rPr>
        <w:t xml:space="preserve">ui  </w:t>
      </w:r>
      <w:r>
        <w:rPr>
          <w:rFonts w:hint="default"/>
          <w:color w:val="000000"/>
          <w:szCs w:val="24"/>
          <w:lang w:val="en-US" w:eastAsia="lt-LT"/>
        </w:rPr>
        <w:t>atlikti</w:t>
      </w:r>
      <w:r>
        <w:rPr>
          <w:color w:val="000000"/>
          <w:szCs w:val="24"/>
          <w:lang w:eastAsia="lt-LT"/>
        </w:rPr>
        <w:t>:</w:t>
      </w:r>
    </w:p>
    <w:p>
      <w:pPr>
        <w:ind w:firstLine="709"/>
        <w:jc w:val="both"/>
        <w:rPr>
          <w:color w:val="000000"/>
          <w:szCs w:val="24"/>
          <w:lang w:eastAsia="lt-LT"/>
        </w:rPr>
      </w:pPr>
    </w:p>
    <w:tbl>
      <w:tblPr>
        <w:tblStyle w:val="3"/>
        <w:tblW w:w="0" w:type="auto"/>
        <w:tblInd w:w="0" w:type="dxa"/>
        <w:tblLayout w:type="autofit"/>
        <w:tblCellMar>
          <w:top w:w="0" w:type="dxa"/>
          <w:left w:w="0" w:type="dxa"/>
          <w:bottom w:w="0" w:type="dxa"/>
          <w:right w:w="0" w:type="dxa"/>
        </w:tblCellMar>
      </w:tblPr>
      <w:tblGrid>
        <w:gridCol w:w="6791"/>
        <w:gridCol w:w="1279"/>
        <w:gridCol w:w="1549"/>
      </w:tblGrid>
      <w:tr>
        <w:tblPrEx>
          <w:tblCellMar>
            <w:top w:w="0" w:type="dxa"/>
            <w:left w:w="0" w:type="dxa"/>
            <w:bottom w:w="0" w:type="dxa"/>
            <w:right w:w="0" w:type="dxa"/>
          </w:tblCellMar>
        </w:tblPrEx>
        <w:tc>
          <w:tcPr>
            <w:tcW w:w="67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both"/>
              <w:rPr>
                <w:szCs w:val="24"/>
                <w:lang w:eastAsia="lt-LT"/>
              </w:rPr>
            </w:pPr>
          </w:p>
        </w:tc>
        <w:tc>
          <w:tcPr>
            <w:tcW w:w="12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both"/>
              <w:rPr>
                <w:szCs w:val="24"/>
                <w:lang w:eastAsia="lt-LT"/>
              </w:rPr>
            </w:pPr>
          </w:p>
        </w:tc>
        <w:tc>
          <w:tcPr>
            <w:tcW w:w="15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both"/>
              <w:rPr>
                <w:szCs w:val="24"/>
                <w:lang w:eastAsia="lt-LT"/>
              </w:rPr>
            </w:pPr>
          </w:p>
        </w:tc>
      </w:tr>
      <w:tr>
        <w:tblPrEx>
          <w:tblCellMar>
            <w:top w:w="0" w:type="dxa"/>
            <w:left w:w="0" w:type="dxa"/>
            <w:bottom w:w="0" w:type="dxa"/>
            <w:right w:w="0" w:type="dxa"/>
          </w:tblCellMar>
        </w:tblPrEx>
        <w:tc>
          <w:tcPr>
            <w:tcW w:w="679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both"/>
              <w:rPr>
                <w:szCs w:val="24"/>
                <w:lang w:eastAsia="lt-LT"/>
              </w:rPr>
            </w:pPr>
            <w:r>
              <w:rPr>
                <w:color w:val="000000"/>
                <w:szCs w:val="24"/>
                <w:lang w:eastAsia="lt-LT"/>
              </w:rPr>
              <w:t xml:space="preserve">savikontrolės tyrimas esant sąlyčiui su patvirtintu COVID-19 ligos atveju </w:t>
            </w:r>
          </w:p>
        </w:tc>
        <w:tc>
          <w:tcPr>
            <w:tcW w:w="1279" w:type="dxa"/>
            <w:tcBorders>
              <w:top w:val="nil"/>
              <w:left w:val="nil"/>
              <w:bottom w:val="single" w:color="auto" w:sz="8" w:space="0"/>
              <w:right w:val="single" w:color="auto" w:sz="8" w:space="0"/>
            </w:tcBorders>
            <w:tcMar>
              <w:top w:w="0" w:type="dxa"/>
              <w:left w:w="108" w:type="dxa"/>
              <w:bottom w:w="0" w:type="dxa"/>
              <w:right w:w="108" w:type="dxa"/>
            </w:tcMar>
          </w:tcPr>
          <w:p>
            <w:pPr>
              <w:jc w:val="both"/>
              <w:rPr>
                <w:szCs w:val="24"/>
                <w:lang w:eastAsia="lt-LT"/>
              </w:rPr>
            </w:pPr>
            <w:r>
              <w:rPr>
                <w:color w:val="000000"/>
                <w:szCs w:val="24"/>
                <w:lang w:eastAsia="lt-LT"/>
              </w:rPr>
              <w:t>□ sutinku</w:t>
            </w:r>
          </w:p>
        </w:tc>
        <w:tc>
          <w:tcPr>
            <w:tcW w:w="1549" w:type="dxa"/>
            <w:tcBorders>
              <w:top w:val="nil"/>
              <w:left w:val="nil"/>
              <w:bottom w:val="single" w:color="auto" w:sz="8" w:space="0"/>
              <w:right w:val="single" w:color="auto" w:sz="8" w:space="0"/>
            </w:tcBorders>
            <w:tcMar>
              <w:top w:w="0" w:type="dxa"/>
              <w:left w:w="108" w:type="dxa"/>
              <w:bottom w:w="0" w:type="dxa"/>
              <w:right w:w="108" w:type="dxa"/>
            </w:tcMar>
          </w:tcPr>
          <w:p>
            <w:pPr>
              <w:jc w:val="both"/>
              <w:rPr>
                <w:szCs w:val="24"/>
                <w:lang w:eastAsia="lt-LT"/>
              </w:rPr>
            </w:pPr>
            <w:r>
              <w:rPr>
                <w:color w:val="000000"/>
                <w:szCs w:val="24"/>
                <w:lang w:eastAsia="lt-LT"/>
              </w:rPr>
              <w:t>□ nesutinku</w:t>
            </w:r>
          </w:p>
        </w:tc>
      </w:tr>
    </w:tbl>
    <w:p>
      <w:pPr>
        <w:shd w:val="clear" w:color="auto" w:fill="FFFFFF"/>
        <w:ind w:firstLine="346"/>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w:t>
      </w:r>
    </w:p>
    <w:p>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pPr>
        <w:ind w:firstLine="709"/>
        <w:jc w:val="both"/>
        <w:rPr>
          <w:color w:val="000000"/>
          <w:szCs w:val="24"/>
          <w:lang w:eastAsia="lt-LT"/>
        </w:rPr>
      </w:pPr>
      <w:r>
        <w:rPr>
          <w:color w:val="000000"/>
          <w:szCs w:val="24"/>
          <w:lang w:eastAsia="lt-LT"/>
        </w:rPr>
        <w:t>Man buvo suteikta galimybė užduoti klausimus ir gavau mane tenkinančius atsakymus.</w:t>
      </w:r>
    </w:p>
    <w:p>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pPr>
        <w:ind w:firstLine="709"/>
        <w:jc w:val="both"/>
        <w:rPr>
          <w:color w:val="000000"/>
          <w:szCs w:val="24"/>
          <w:lang w:eastAsia="lt-LT"/>
        </w:rPr>
      </w:pPr>
      <w:r>
        <w:rPr>
          <w:color w:val="000000"/>
          <w:szCs w:val="24"/>
          <w:lang w:eastAsia="lt-LT"/>
        </w:rPr>
        <w:t>Supratau, kad galiu bet kada pasitraukti iš testavimo, nenurodęs (-iusi) priežasčių.</w:t>
      </w:r>
    </w:p>
    <w:p>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pPr>
        <w:ind w:firstLine="709"/>
        <w:jc w:val="both"/>
        <w:rPr>
          <w:color w:val="000000"/>
          <w:szCs w:val="24"/>
          <w:lang w:eastAsia="lt-LT"/>
        </w:rPr>
      </w:pPr>
      <w:r>
        <w:rPr>
          <w:color w:val="000000"/>
          <w:szCs w:val="24"/>
          <w:lang w:eastAsia="lt-LT"/>
        </w:rPr>
        <w:t>Supratau, kad dalyvavimas testavime yra savanoriškas.</w:t>
      </w:r>
    </w:p>
    <w:p>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pPr>
        <w:ind w:firstLine="709"/>
        <w:jc w:val="both"/>
        <w:rPr>
          <w:color w:val="000000"/>
          <w:szCs w:val="24"/>
          <w:lang w:eastAsia="lt-LT"/>
        </w:rPr>
      </w:pPr>
      <w:r>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pPr>
        <w:ind w:firstLine="709"/>
        <w:rPr>
          <w:b/>
          <w:bCs/>
          <w:szCs w:val="24"/>
        </w:rPr>
      </w:pPr>
    </w:p>
    <w:p>
      <w:pPr>
        <w:ind w:firstLine="709"/>
        <w:jc w:val="center"/>
        <w:rPr>
          <w:b/>
          <w:szCs w:val="24"/>
          <w:lang w:eastAsia="lt-LT"/>
        </w:rPr>
      </w:pPr>
      <w:r>
        <w:rPr>
          <w:b/>
          <w:szCs w:val="24"/>
          <w:lang w:eastAsia="lt-LT"/>
        </w:rPr>
        <w:t>V SKYRIUS</w:t>
      </w:r>
    </w:p>
    <w:p>
      <w:pPr>
        <w:ind w:firstLine="709"/>
        <w:jc w:val="center"/>
        <w:rPr>
          <w:b/>
          <w:szCs w:val="24"/>
          <w:lang w:eastAsia="lt-LT"/>
        </w:rPr>
      </w:pPr>
      <w:r>
        <w:rPr>
          <w:b/>
          <w:szCs w:val="24"/>
          <w:lang w:eastAsia="lt-LT"/>
        </w:rPr>
        <w:t>SUTIKIMAS MOKYKLAI TVARKYTI ASMENS DUOMENIS</w:t>
      </w:r>
    </w:p>
    <w:p>
      <w:pPr>
        <w:ind w:firstLine="709"/>
        <w:jc w:val="center"/>
        <w:rPr>
          <w:b/>
          <w:szCs w:val="24"/>
        </w:rPr>
      </w:pPr>
    </w:p>
    <w:p>
      <w:pPr>
        <w:pBdr>
          <w:bottom w:val="single" w:color="auto" w:sz="6" w:space="1"/>
        </w:pBdr>
        <w:ind w:firstLine="709"/>
        <w:jc w:val="center"/>
        <w:rPr>
          <w:vanish/>
          <w:szCs w:val="24"/>
          <w:lang w:eastAsia="lt-LT"/>
        </w:rPr>
      </w:pPr>
      <w:r>
        <w:rPr>
          <w:vanish/>
          <w:szCs w:val="24"/>
          <w:lang w:eastAsia="lt-LT"/>
        </w:rPr>
        <w:t>Formos viršus</w:t>
      </w:r>
    </w:p>
    <w:p>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pPr>
        <w:ind w:firstLine="709"/>
        <w:jc w:val="both"/>
        <w:rPr>
          <w:szCs w:val="24"/>
          <w:lang w:eastAsia="lt-LT"/>
        </w:rPr>
      </w:pPr>
      <w:r>
        <w:rPr>
          <w:szCs w:val="24"/>
          <w:lang w:eastAsia="lt-LT"/>
        </w:rPr>
        <w:t>Man buvo suteikta visa su asmens duomenų tvarkymu ir mano teisėmis susijusi informacija.</w:t>
      </w:r>
    </w:p>
    <w:p>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p>
    <w:p>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szCs w:val="24"/>
          <w:u w:val="single"/>
          <w:lang w:eastAsia="lt-LT"/>
        </w:rPr>
        <w:t>ada@ada.lt</w:t>
      </w:r>
      <w:r>
        <w:rPr>
          <w:color w:val="000000"/>
          <w:szCs w:val="24"/>
          <w:lang w:eastAsia="lt-LT"/>
        </w:rPr>
        <w:t>), arba teismui.</w:t>
      </w:r>
    </w:p>
    <w:p>
      <w:pPr>
        <w:shd w:val="clear" w:color="auto" w:fill="FFFFFF"/>
        <w:jc w:val="both"/>
        <w:rPr>
          <w:color w:val="000000"/>
          <w:szCs w:val="24"/>
          <w:lang w:eastAsia="lt-LT"/>
        </w:rPr>
      </w:pPr>
    </w:p>
    <w:p>
      <w:pPr>
        <w:ind w:firstLine="57"/>
        <w:rPr>
          <w:color w:val="000000"/>
          <w:szCs w:val="24"/>
        </w:rPr>
      </w:pPr>
      <w:r>
        <w:rPr>
          <w:szCs w:val="24"/>
          <w:lang w:eastAsia="lt-LT"/>
        </w:rPr>
        <w:t xml:space="preserve">Jei esate </w:t>
      </w:r>
      <w:r>
        <w:rPr>
          <w:rFonts w:hint="default"/>
          <w:color w:val="000000"/>
          <w:szCs w:val="24"/>
          <w:lang w:val="lt-LT"/>
        </w:rPr>
        <w:t>vaiko</w:t>
      </w:r>
      <w:r>
        <w:rPr>
          <w:color w:val="000000"/>
          <w:szCs w:val="24"/>
        </w:rPr>
        <w:t xml:space="preserve"> atstovas pagal įstatymą, nurodykite </w:t>
      </w:r>
      <w:r>
        <w:rPr>
          <w:rFonts w:hint="default"/>
          <w:color w:val="000000"/>
          <w:szCs w:val="24"/>
          <w:lang w:val="lt-LT"/>
        </w:rPr>
        <w:t>vaik</w:t>
      </w:r>
      <w:r>
        <w:rPr>
          <w:color w:val="000000"/>
          <w:szCs w:val="24"/>
        </w:rPr>
        <w:t>o duomenis:</w:t>
      </w:r>
    </w:p>
    <w:p>
      <w:pPr>
        <w:rPr>
          <w:color w:val="000000"/>
          <w:szCs w:val="24"/>
        </w:rPr>
      </w:pPr>
    </w:p>
    <w:tbl>
      <w:tblPr>
        <w:tblStyle w:val="3"/>
        <w:tblW w:w="2835" w:type="dxa"/>
        <w:tblInd w:w="0" w:type="dxa"/>
        <w:tblLayout w:type="fixed"/>
        <w:tblCellMar>
          <w:top w:w="0" w:type="dxa"/>
          <w:left w:w="108" w:type="dxa"/>
          <w:bottom w:w="0" w:type="dxa"/>
          <w:right w:w="108" w:type="dxa"/>
        </w:tblCellMar>
      </w:tblPr>
      <w:tblGrid>
        <w:gridCol w:w="1134"/>
        <w:gridCol w:w="284"/>
        <w:gridCol w:w="1417"/>
      </w:tblGrid>
      <w:tr>
        <w:tblPrEx>
          <w:tblCellMar>
            <w:top w:w="0" w:type="dxa"/>
            <w:left w:w="108" w:type="dxa"/>
            <w:bottom w:w="0" w:type="dxa"/>
            <w:right w:w="108" w:type="dxa"/>
          </w:tblCellMar>
        </w:tblPrEx>
        <w:tc>
          <w:tcPr>
            <w:tcW w:w="1134" w:type="dxa"/>
            <w:tcBorders>
              <w:top w:val="nil"/>
              <w:left w:val="nil"/>
              <w:bottom w:val="single" w:color="auto" w:sz="4" w:space="0"/>
              <w:right w:val="nil"/>
            </w:tcBorders>
          </w:tcPr>
          <w:p>
            <w:pPr>
              <w:rPr>
                <w:szCs w:val="24"/>
                <w:lang w:eastAsia="lt-LT"/>
              </w:rPr>
            </w:pPr>
          </w:p>
        </w:tc>
        <w:tc>
          <w:tcPr>
            <w:tcW w:w="284" w:type="dxa"/>
          </w:tcPr>
          <w:p>
            <w:pPr>
              <w:rPr>
                <w:szCs w:val="24"/>
                <w:lang w:eastAsia="lt-LT"/>
              </w:rPr>
            </w:pPr>
          </w:p>
        </w:tc>
        <w:tc>
          <w:tcPr>
            <w:tcW w:w="1417" w:type="dxa"/>
            <w:tcBorders>
              <w:top w:val="nil"/>
              <w:left w:val="nil"/>
              <w:bottom w:val="single" w:color="auto" w:sz="4" w:space="0"/>
              <w:right w:val="nil"/>
            </w:tcBorders>
          </w:tcPr>
          <w:p>
            <w:pPr>
              <w:rPr>
                <w:szCs w:val="24"/>
                <w:lang w:eastAsia="lt-LT"/>
              </w:rPr>
            </w:pPr>
          </w:p>
        </w:tc>
      </w:tr>
      <w:tr>
        <w:tc>
          <w:tcPr>
            <w:tcW w:w="1134" w:type="dxa"/>
            <w:tcBorders>
              <w:left w:val="nil"/>
              <w:right w:val="nil"/>
            </w:tcBorders>
          </w:tcPr>
          <w:p>
            <w:pPr>
              <w:jc w:val="center"/>
              <w:rPr>
                <w:szCs w:val="24"/>
                <w:lang w:eastAsia="lt-LT"/>
              </w:rPr>
            </w:pPr>
            <w:r>
              <w:rPr>
                <w:szCs w:val="24"/>
                <w:lang w:eastAsia="lt-LT"/>
              </w:rPr>
              <w:t xml:space="preserve">vardas </w:t>
            </w:r>
          </w:p>
          <w:p>
            <w:pPr>
              <w:jc w:val="center"/>
              <w:rPr>
                <w:szCs w:val="24"/>
                <w:lang w:eastAsia="lt-LT"/>
              </w:rPr>
            </w:pPr>
          </w:p>
        </w:tc>
        <w:tc>
          <w:tcPr>
            <w:tcW w:w="284" w:type="dxa"/>
          </w:tcPr>
          <w:p>
            <w:pPr>
              <w:jc w:val="center"/>
              <w:rPr>
                <w:szCs w:val="24"/>
                <w:lang w:eastAsia="lt-LT"/>
              </w:rPr>
            </w:pPr>
          </w:p>
        </w:tc>
        <w:tc>
          <w:tcPr>
            <w:tcW w:w="1417" w:type="dxa"/>
          </w:tcPr>
          <w:p>
            <w:pPr>
              <w:jc w:val="center"/>
              <w:rPr>
                <w:szCs w:val="24"/>
                <w:lang w:eastAsia="lt-LT"/>
              </w:rPr>
            </w:pPr>
            <w:r>
              <w:rPr>
                <w:szCs w:val="24"/>
                <w:lang w:eastAsia="lt-LT"/>
              </w:rPr>
              <w:t xml:space="preserve">pavardė </w:t>
            </w:r>
          </w:p>
        </w:tc>
      </w:tr>
    </w:tbl>
    <w:p>
      <w:pPr>
        <w:rPr>
          <w:color w:val="000000"/>
          <w:szCs w:val="24"/>
        </w:rPr>
      </w:pPr>
    </w:p>
    <w:p>
      <w:pPr>
        <w:rPr>
          <w:color w:val="000000"/>
          <w:szCs w:val="24"/>
        </w:rPr>
      </w:pPr>
      <w:r>
        <w:rPr>
          <w:rFonts w:hint="default"/>
          <w:color w:val="000000"/>
          <w:szCs w:val="24"/>
          <w:lang w:val="lt-LT"/>
        </w:rPr>
        <w:t>Vaiko</w:t>
      </w:r>
      <w:r>
        <w:rPr>
          <w:color w:val="000000"/>
          <w:szCs w:val="24"/>
        </w:rPr>
        <w:t xml:space="preserve"> atstovas pagal įstatymą:</w:t>
      </w:r>
    </w:p>
    <w:p>
      <w:pPr>
        <w:rPr>
          <w:color w:val="000000"/>
          <w:szCs w:val="24"/>
        </w:rPr>
      </w:pPr>
    </w:p>
    <w:tbl>
      <w:tblPr>
        <w:tblStyle w:val="3"/>
        <w:tblW w:w="9885" w:type="dxa"/>
        <w:tblInd w:w="0" w:type="dxa"/>
        <w:tblLayout w:type="fixed"/>
        <w:tblCellMar>
          <w:top w:w="0" w:type="dxa"/>
          <w:left w:w="108" w:type="dxa"/>
          <w:bottom w:w="0" w:type="dxa"/>
          <w:right w:w="108" w:type="dxa"/>
        </w:tblCellMar>
      </w:tblPr>
      <w:tblGrid>
        <w:gridCol w:w="1384"/>
        <w:gridCol w:w="284"/>
        <w:gridCol w:w="1416"/>
        <w:gridCol w:w="284"/>
        <w:gridCol w:w="1558"/>
        <w:gridCol w:w="283"/>
        <w:gridCol w:w="1134"/>
        <w:gridCol w:w="284"/>
        <w:gridCol w:w="1700"/>
        <w:gridCol w:w="283"/>
        <w:gridCol w:w="1275"/>
      </w:tblGrid>
      <w:tr>
        <w:tblPrEx>
          <w:tblCellMar>
            <w:top w:w="0" w:type="dxa"/>
            <w:left w:w="108" w:type="dxa"/>
            <w:bottom w:w="0" w:type="dxa"/>
            <w:right w:w="108" w:type="dxa"/>
          </w:tblCellMar>
        </w:tblPrEx>
        <w:tc>
          <w:tcPr>
            <w:tcW w:w="1384" w:type="dxa"/>
            <w:tcBorders>
              <w:top w:val="nil"/>
              <w:left w:val="nil"/>
              <w:bottom w:val="single" w:color="auto" w:sz="4" w:space="0"/>
              <w:right w:val="nil"/>
            </w:tcBorders>
          </w:tcPr>
          <w:p>
            <w:pPr>
              <w:rPr>
                <w:szCs w:val="24"/>
                <w:lang w:eastAsia="lt-LT"/>
              </w:rPr>
            </w:pPr>
          </w:p>
        </w:tc>
        <w:tc>
          <w:tcPr>
            <w:tcW w:w="284" w:type="dxa"/>
          </w:tcPr>
          <w:p>
            <w:pPr>
              <w:rPr>
                <w:szCs w:val="24"/>
                <w:lang w:eastAsia="lt-LT"/>
              </w:rPr>
            </w:pPr>
          </w:p>
        </w:tc>
        <w:tc>
          <w:tcPr>
            <w:tcW w:w="1416" w:type="dxa"/>
            <w:tcBorders>
              <w:top w:val="nil"/>
              <w:left w:val="nil"/>
              <w:bottom w:val="single" w:color="auto" w:sz="4" w:space="0"/>
              <w:right w:val="nil"/>
            </w:tcBorders>
          </w:tcPr>
          <w:p>
            <w:pPr>
              <w:rPr>
                <w:szCs w:val="24"/>
                <w:lang w:eastAsia="lt-LT"/>
              </w:rPr>
            </w:pPr>
          </w:p>
        </w:tc>
        <w:tc>
          <w:tcPr>
            <w:tcW w:w="284" w:type="dxa"/>
          </w:tcPr>
          <w:p>
            <w:pPr>
              <w:rPr>
                <w:szCs w:val="24"/>
                <w:lang w:eastAsia="lt-LT"/>
              </w:rPr>
            </w:pPr>
          </w:p>
        </w:tc>
        <w:tc>
          <w:tcPr>
            <w:tcW w:w="1558" w:type="dxa"/>
            <w:tcBorders>
              <w:top w:val="nil"/>
              <w:left w:val="nil"/>
              <w:right w:val="nil"/>
            </w:tcBorders>
          </w:tcPr>
          <w:p>
            <w:pPr>
              <w:rPr>
                <w:szCs w:val="24"/>
                <w:lang w:eastAsia="lt-LT"/>
              </w:rPr>
            </w:pPr>
          </w:p>
        </w:tc>
        <w:tc>
          <w:tcPr>
            <w:tcW w:w="283" w:type="dxa"/>
          </w:tcPr>
          <w:p>
            <w:pPr>
              <w:rPr>
                <w:szCs w:val="24"/>
                <w:lang w:eastAsia="lt-LT"/>
              </w:rPr>
            </w:pPr>
          </w:p>
        </w:tc>
        <w:tc>
          <w:tcPr>
            <w:tcW w:w="1134" w:type="dxa"/>
            <w:tcBorders>
              <w:top w:val="nil"/>
              <w:left w:val="nil"/>
              <w:bottom w:val="single" w:color="auto" w:sz="4" w:space="0"/>
              <w:right w:val="nil"/>
            </w:tcBorders>
          </w:tcPr>
          <w:p>
            <w:pPr>
              <w:rPr>
                <w:szCs w:val="24"/>
                <w:lang w:eastAsia="lt-LT"/>
              </w:rPr>
            </w:pPr>
          </w:p>
        </w:tc>
        <w:tc>
          <w:tcPr>
            <w:tcW w:w="284" w:type="dxa"/>
          </w:tcPr>
          <w:p>
            <w:pPr>
              <w:rPr>
                <w:szCs w:val="24"/>
                <w:lang w:eastAsia="lt-LT"/>
              </w:rPr>
            </w:pPr>
          </w:p>
        </w:tc>
        <w:tc>
          <w:tcPr>
            <w:tcW w:w="1700" w:type="dxa"/>
            <w:tcBorders>
              <w:top w:val="nil"/>
              <w:left w:val="nil"/>
              <w:right w:val="nil"/>
            </w:tcBorders>
          </w:tcPr>
          <w:p>
            <w:pPr>
              <w:jc w:val="center"/>
              <w:rPr>
                <w:i/>
                <w:szCs w:val="24"/>
                <w:lang w:eastAsia="lt-LT"/>
              </w:rPr>
            </w:pPr>
          </w:p>
        </w:tc>
        <w:tc>
          <w:tcPr>
            <w:tcW w:w="283" w:type="dxa"/>
          </w:tcPr>
          <w:p>
            <w:pPr>
              <w:rPr>
                <w:szCs w:val="24"/>
                <w:lang w:eastAsia="lt-LT"/>
              </w:rPr>
            </w:pPr>
          </w:p>
        </w:tc>
        <w:tc>
          <w:tcPr>
            <w:tcW w:w="1275" w:type="dxa"/>
            <w:tcBorders>
              <w:bottom w:val="single" w:color="auto" w:sz="4" w:space="0"/>
            </w:tcBorders>
          </w:tcPr>
          <w:p>
            <w:pPr>
              <w:jc w:val="center"/>
              <w:rPr>
                <w:szCs w:val="24"/>
                <w:lang w:eastAsia="lt-LT"/>
              </w:rPr>
            </w:pPr>
          </w:p>
        </w:tc>
      </w:tr>
      <w:tr>
        <w:tblPrEx>
          <w:tblCellMar>
            <w:top w:w="0" w:type="dxa"/>
            <w:left w:w="108" w:type="dxa"/>
            <w:bottom w:w="0" w:type="dxa"/>
            <w:right w:w="108" w:type="dxa"/>
          </w:tblCellMar>
        </w:tblPrEx>
        <w:tc>
          <w:tcPr>
            <w:tcW w:w="1384" w:type="dxa"/>
            <w:tcBorders>
              <w:left w:val="nil"/>
              <w:bottom w:val="nil"/>
              <w:right w:val="nil"/>
            </w:tcBorders>
          </w:tcPr>
          <w:p>
            <w:pPr>
              <w:jc w:val="center"/>
              <w:rPr>
                <w:szCs w:val="24"/>
                <w:lang w:eastAsia="lt-LT"/>
              </w:rPr>
            </w:pPr>
            <w:r>
              <w:rPr>
                <w:szCs w:val="24"/>
                <w:lang w:eastAsia="lt-LT"/>
              </w:rPr>
              <w:t xml:space="preserve">vardas </w:t>
            </w:r>
          </w:p>
        </w:tc>
        <w:tc>
          <w:tcPr>
            <w:tcW w:w="284" w:type="dxa"/>
          </w:tcPr>
          <w:p>
            <w:pPr>
              <w:jc w:val="center"/>
              <w:rPr>
                <w:szCs w:val="24"/>
                <w:lang w:eastAsia="lt-LT"/>
              </w:rPr>
            </w:pPr>
          </w:p>
        </w:tc>
        <w:tc>
          <w:tcPr>
            <w:tcW w:w="1416" w:type="dxa"/>
          </w:tcPr>
          <w:p>
            <w:pPr>
              <w:jc w:val="center"/>
              <w:rPr>
                <w:szCs w:val="24"/>
                <w:lang w:eastAsia="lt-LT"/>
              </w:rPr>
            </w:pPr>
            <w:r>
              <w:rPr>
                <w:szCs w:val="24"/>
                <w:lang w:eastAsia="lt-LT"/>
              </w:rPr>
              <w:t xml:space="preserve">pavardė </w:t>
            </w:r>
          </w:p>
        </w:tc>
        <w:tc>
          <w:tcPr>
            <w:tcW w:w="284" w:type="dxa"/>
          </w:tcPr>
          <w:p>
            <w:pPr>
              <w:jc w:val="center"/>
              <w:rPr>
                <w:szCs w:val="24"/>
                <w:lang w:eastAsia="lt-LT"/>
              </w:rPr>
            </w:pPr>
          </w:p>
        </w:tc>
        <w:tc>
          <w:tcPr>
            <w:tcW w:w="1558" w:type="dxa"/>
          </w:tcPr>
          <w:p>
            <w:pPr>
              <w:jc w:val="center"/>
              <w:rPr>
                <w:szCs w:val="24"/>
                <w:lang w:eastAsia="lt-LT"/>
              </w:rPr>
            </w:pPr>
          </w:p>
        </w:tc>
        <w:tc>
          <w:tcPr>
            <w:tcW w:w="283" w:type="dxa"/>
          </w:tcPr>
          <w:p>
            <w:pPr>
              <w:jc w:val="center"/>
              <w:rPr>
                <w:szCs w:val="24"/>
                <w:lang w:eastAsia="lt-LT"/>
              </w:rPr>
            </w:pPr>
          </w:p>
        </w:tc>
        <w:tc>
          <w:tcPr>
            <w:tcW w:w="1134" w:type="dxa"/>
          </w:tcPr>
          <w:p>
            <w:pPr>
              <w:jc w:val="center"/>
              <w:rPr>
                <w:szCs w:val="24"/>
                <w:lang w:eastAsia="lt-LT"/>
              </w:rPr>
            </w:pPr>
            <w:r>
              <w:rPr>
                <w:szCs w:val="24"/>
                <w:lang w:eastAsia="lt-LT"/>
              </w:rPr>
              <w:t>parašas</w:t>
            </w:r>
          </w:p>
        </w:tc>
        <w:tc>
          <w:tcPr>
            <w:tcW w:w="284" w:type="dxa"/>
          </w:tcPr>
          <w:p>
            <w:pPr>
              <w:jc w:val="center"/>
              <w:rPr>
                <w:szCs w:val="24"/>
                <w:lang w:eastAsia="lt-LT"/>
              </w:rPr>
            </w:pPr>
          </w:p>
        </w:tc>
        <w:tc>
          <w:tcPr>
            <w:tcW w:w="1700" w:type="dxa"/>
          </w:tcPr>
          <w:p>
            <w:pPr>
              <w:jc w:val="center"/>
              <w:rPr>
                <w:szCs w:val="24"/>
                <w:lang w:eastAsia="lt-LT"/>
              </w:rPr>
            </w:pPr>
          </w:p>
        </w:tc>
        <w:tc>
          <w:tcPr>
            <w:tcW w:w="283" w:type="dxa"/>
            <w:tcBorders>
              <w:top w:val="single" w:color="auto" w:sz="4" w:space="0"/>
            </w:tcBorders>
          </w:tcPr>
          <w:p>
            <w:pPr>
              <w:jc w:val="center"/>
              <w:rPr>
                <w:szCs w:val="24"/>
                <w:lang w:eastAsia="lt-LT"/>
              </w:rPr>
            </w:pPr>
          </w:p>
        </w:tc>
        <w:tc>
          <w:tcPr>
            <w:tcW w:w="1275" w:type="dxa"/>
            <w:tcBorders>
              <w:top w:val="single" w:color="auto" w:sz="4" w:space="0"/>
            </w:tcBorders>
          </w:tcPr>
          <w:p>
            <w:pPr>
              <w:jc w:val="center"/>
              <w:rPr>
                <w:szCs w:val="24"/>
                <w:lang w:eastAsia="lt-LT"/>
              </w:rPr>
            </w:pPr>
            <w:r>
              <w:rPr>
                <w:szCs w:val="24"/>
                <w:lang w:eastAsia="lt-LT"/>
              </w:rPr>
              <w:t>data</w:t>
            </w:r>
          </w:p>
        </w:tc>
      </w:tr>
    </w:tbl>
    <w:p>
      <w:pPr>
        <w:rPr>
          <w:color w:val="212529"/>
          <w:szCs w:val="24"/>
        </w:rPr>
      </w:pPr>
    </w:p>
    <w:p>
      <w:pPr>
        <w:pBdr>
          <w:top w:val="single" w:color="auto" w:sz="6" w:space="1"/>
        </w:pBdr>
        <w:rPr>
          <w:rFonts w:ascii="Arial" w:hAnsi="Arial" w:cs="Arial"/>
          <w:vanish/>
          <w:sz w:val="16"/>
          <w:szCs w:val="16"/>
          <w:lang w:eastAsia="lt-LT"/>
        </w:rPr>
      </w:pPr>
      <w:r>
        <w:rPr>
          <w:rFonts w:ascii="Arial" w:hAnsi="Arial" w:cs="Arial"/>
          <w:vanish/>
          <w:sz w:val="16"/>
          <w:szCs w:val="16"/>
          <w:lang w:eastAsia="lt-LT"/>
        </w:rPr>
        <w:t>Formos apačia</w:t>
      </w:r>
    </w:p>
    <w:p>
      <w:pPr>
        <w:pBdr>
          <w:top w:val="single" w:color="auto" w:sz="6" w:space="1"/>
        </w:pBdr>
        <w:jc w:val="center"/>
        <w:rPr>
          <w:rFonts w:ascii="Arial" w:hAnsi="Arial" w:cs="Arial"/>
          <w:vanish/>
          <w:sz w:val="16"/>
          <w:szCs w:val="16"/>
          <w:lang w:eastAsia="lt-LT"/>
        </w:rPr>
      </w:pPr>
      <w:r>
        <w:rPr>
          <w:rFonts w:ascii="Arial" w:hAnsi="Arial" w:cs="Arial"/>
          <w:vanish/>
          <w:sz w:val="16"/>
          <w:szCs w:val="16"/>
          <w:lang w:eastAsia="lt-LT"/>
        </w:rPr>
        <w:t>Formos apačia</w:t>
      </w:r>
    </w:p>
    <w:p>
      <w:pPr>
        <w:pBdr>
          <w:top w:val="single" w:color="auto" w:sz="6" w:space="1"/>
        </w:pBdr>
        <w:jc w:val="center"/>
        <w:rPr>
          <w:rFonts w:ascii="Arial" w:hAnsi="Arial" w:cs="Arial"/>
          <w:vanish/>
          <w:sz w:val="16"/>
          <w:szCs w:val="16"/>
          <w:lang w:eastAsia="lt-LT"/>
        </w:rPr>
      </w:pPr>
      <w:r>
        <w:rPr>
          <w:rFonts w:ascii="Arial" w:hAnsi="Arial" w:cs="Arial"/>
          <w:vanish/>
          <w:sz w:val="16"/>
          <w:szCs w:val="16"/>
          <w:lang w:eastAsia="lt-LT"/>
        </w:rPr>
        <w:t>Formos apačia</w:t>
      </w:r>
    </w:p>
    <w:p>
      <w:pPr>
        <w:pBdr>
          <w:top w:val="single" w:color="auto" w:sz="6" w:space="1"/>
        </w:pBdr>
        <w:jc w:val="center"/>
        <w:rPr>
          <w:b/>
          <w:bCs/>
          <w:sz w:val="22"/>
          <w:szCs w:val="22"/>
        </w:rPr>
      </w:pPr>
      <w:r>
        <w:rPr>
          <w:rFonts w:ascii="Arial" w:hAnsi="Arial" w:cs="Arial"/>
          <w:vanish/>
          <w:sz w:val="16"/>
          <w:szCs w:val="16"/>
          <w:lang w:eastAsia="lt-LT"/>
        </w:rPr>
        <w:t>Formos apačia</w:t>
      </w:r>
    </w:p>
    <w:sectPr>
      <w:headerReference r:id="rId5" w:type="first"/>
      <w:footerReference r:id="rId8" w:type="first"/>
      <w:headerReference r:id="rId3" w:type="default"/>
      <w:footerReference r:id="rId6" w:type="default"/>
      <w:headerReference r:id="rId4" w:type="even"/>
      <w:footerReference r:id="rId7" w:type="even"/>
      <w:pgSz w:w="11906" w:h="16838"/>
      <w:pgMar w:top="1276" w:right="567" w:bottom="1134" w:left="1701" w:header="567" w:footer="567" w:gutter="0"/>
      <w:cols w:space="1296"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rPr>
      <w:t>4</w:t>
    </w:r>
    <w:r>
      <w:rPr>
        <w:sz w:val="22"/>
        <w:szCs w:val="22"/>
      </w:rPr>
      <w:fldChar w:fldCharType="end"/>
    </w:r>
  </w:p>
  <w:p>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958BE"/>
    <w:rsid w:val="001B1E32"/>
    <w:rsid w:val="00222CD3"/>
    <w:rsid w:val="00227532"/>
    <w:rsid w:val="00343016"/>
    <w:rsid w:val="003E01DE"/>
    <w:rsid w:val="0050516E"/>
    <w:rsid w:val="005924A4"/>
    <w:rsid w:val="005A324E"/>
    <w:rsid w:val="006935DD"/>
    <w:rsid w:val="00745F44"/>
    <w:rsid w:val="007B6266"/>
    <w:rsid w:val="00834C56"/>
    <w:rsid w:val="008B4C59"/>
    <w:rsid w:val="009966ED"/>
    <w:rsid w:val="00AA631A"/>
    <w:rsid w:val="00B67B2C"/>
    <w:rsid w:val="00CF1C9C"/>
    <w:rsid w:val="00D41413"/>
    <w:rsid w:val="00E12274"/>
    <w:rsid w:val="00EE34BE"/>
    <w:rsid w:val="00F83BEB"/>
    <w:rsid w:val="00FC22C1"/>
    <w:rsid w:val="486814ED"/>
  </w:rsids>
  <m:mathPr>
    <m:mathFont m:val="Cambria Math"/>
    <m:brkBin m:val="before"/>
    <m:brkBinSub m:val="--"/>
    <m:smallFrac m:val="0"/>
    <m:dispDef/>
    <m:lMargin m:val="0"/>
    <m:rMargin m:val="0"/>
    <m:defJc m:val="centerGroup"/>
    <m:wrapIndent m:val="1440"/>
    <m:intLim m:val="subSup"/>
    <m:naryLim m:val="undOvr"/>
  </m:mathPr>
  <w:doNotAutoCompressPictures/>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0"/>
      <w:lang w:val="lt-L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1FCF6-9CC7-4CBE-9F55-FB6DEE65D1C4}">
  <ds:schemaRefs/>
</ds:datastoreItem>
</file>

<file path=docProps/app.xml><?xml version="1.0" encoding="utf-8"?>
<Properties xmlns="http://schemas.openxmlformats.org/officeDocument/2006/extended-properties" xmlns:vt="http://schemas.openxmlformats.org/officeDocument/2006/docPropsVTypes">
  <Template>Normal</Template>
  <Pages>5</Pages>
  <Words>10684</Words>
  <Characters>6090</Characters>
  <Lines>50</Lines>
  <Paragraphs>33</Paragraphs>
  <TotalTime>4</TotalTime>
  <ScaleCrop>false</ScaleCrop>
  <LinksUpToDate>false</LinksUpToDate>
  <CharactersWithSpaces>16741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2022-02-21T12:34:00Z</dcterms:created>
  <dc:creator>Sandra Babiedaitė Miškinienė</dc:creator>
  <cp:lastModifiedBy>Lenovo</cp:lastModifiedBy>
  <dcterms:modified xsi:type="dcterms:W3CDTF">2022-03-04T10:54:12Z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142802984E6A4C2183010714F7B223F4</vt:lpwstr>
  </property>
</Properties>
</file>